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53B6" w14:textId="78DBB4A5" w:rsidR="00324C84" w:rsidRPr="00324C84" w:rsidRDefault="00324C84" w:rsidP="00324C84">
      <w:pPr>
        <w:jc w:val="center"/>
        <w:rPr>
          <w:rFonts w:ascii="Times New Roman" w:hAnsi="Times New Roman" w:cs="Times New Roman"/>
          <w:sz w:val="36"/>
          <w:szCs w:val="36"/>
        </w:rPr>
      </w:pPr>
      <w:r w:rsidRPr="00324C84">
        <w:rPr>
          <w:rFonts w:ascii="Times New Roman" w:hAnsi="Times New Roman" w:cs="Times New Roman"/>
          <w:b/>
          <w:bCs/>
          <w:sz w:val="36"/>
          <w:szCs w:val="36"/>
        </w:rPr>
        <w:t>Ogólne Warunki Sprzedaży i Dostaw Betonu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z dnia 01.01.2026</w:t>
      </w:r>
    </w:p>
    <w:p w14:paraId="37DF4396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1. </w:t>
      </w:r>
      <w:r w:rsidRPr="00324C84">
        <w:rPr>
          <w:rFonts w:ascii="Times New Roman" w:hAnsi="Times New Roman" w:cs="Times New Roman"/>
          <w:b/>
          <w:bCs/>
        </w:rPr>
        <w:t>Złożenie zamówienia</w:t>
      </w:r>
    </w:p>
    <w:p w14:paraId="0B309C80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Złożenie zamówienia, niezależnie od jego formy, oznacza akceptację przez Odbiorcę postanowień zawartych w Ofercie cenowej oraz niniejszych Ogólnych Warunkach Sprzedaży.</w:t>
      </w:r>
    </w:p>
    <w:p w14:paraId="62F08728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2. </w:t>
      </w:r>
      <w:r w:rsidRPr="00324C84">
        <w:rPr>
          <w:rFonts w:ascii="Times New Roman" w:hAnsi="Times New Roman" w:cs="Times New Roman"/>
          <w:b/>
          <w:bCs/>
        </w:rPr>
        <w:t>Termin dostawy</w:t>
      </w:r>
    </w:p>
    <w:p w14:paraId="407DED43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Termin dostawy wskazany w zamówieniu ma charakter orientacyjny i każdorazowo wymaga potwierdzenia przez Dostawcę, z uwzględnieniem jego możliwości technicznych i organizacyjnych.</w:t>
      </w:r>
    </w:p>
    <w:p w14:paraId="3A03F41D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Dostawca zobowiązuje się do realizacji dostawy bez zbędnej zwłoki.</w:t>
      </w:r>
    </w:p>
    <w:p w14:paraId="44B8CF08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3. </w:t>
      </w:r>
      <w:r w:rsidRPr="00324C84">
        <w:rPr>
          <w:rFonts w:ascii="Times New Roman" w:hAnsi="Times New Roman" w:cs="Times New Roman"/>
          <w:b/>
          <w:bCs/>
        </w:rPr>
        <w:t>Okoliczności niezależne od Dostawcy</w:t>
      </w:r>
    </w:p>
    <w:p w14:paraId="00EB3F3A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W przypadku wystąpienia okoliczności niezależnych od Dostawcy, uniemożliwiających lub opóźniających realizację dostawy, Dostawca ma prawo przedłużyć termin dostawy o czas trwania tych okoliczności.</w:t>
      </w:r>
    </w:p>
    <w:p w14:paraId="5BE534F6" w14:textId="77777777" w:rsidR="00324C84" w:rsidRPr="00324C84" w:rsidRDefault="00324C84" w:rsidP="00324C84">
      <w:pPr>
        <w:rPr>
          <w:rFonts w:ascii="Times New Roman" w:hAnsi="Times New Roman" w:cs="Times New Roman"/>
          <w:sz w:val="18"/>
          <w:szCs w:val="18"/>
        </w:rPr>
      </w:pPr>
      <w:r w:rsidRPr="00324C84">
        <w:rPr>
          <w:rFonts w:ascii="Times New Roman" w:hAnsi="Times New Roman" w:cs="Times New Roman"/>
          <w:sz w:val="20"/>
          <w:szCs w:val="20"/>
        </w:rPr>
        <w:t>Do okoliczności tych należą w szczególności: opóźnienia transportowe, zakłócenia w produkcji, awarie, strajki, braki surowców lub paliw, a także czynniki gospodarcze lub polityczne, których nie można było przewidzieć ani im zapobiec.</w:t>
      </w:r>
    </w:p>
    <w:p w14:paraId="032DB79C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Powyższe nie zwalnia Odbiorcy z obowiązku odbioru zamówionego towaru.</w:t>
      </w:r>
    </w:p>
    <w:p w14:paraId="0BE98C61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4. </w:t>
      </w:r>
      <w:r w:rsidRPr="00324C84">
        <w:rPr>
          <w:rFonts w:ascii="Times New Roman" w:hAnsi="Times New Roman" w:cs="Times New Roman"/>
          <w:b/>
          <w:bCs/>
        </w:rPr>
        <w:t>Odmowa lub brak odbioru</w:t>
      </w:r>
    </w:p>
    <w:p w14:paraId="19BB1B44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Odmowa odbioru zamówienia (w całości lub w części) z przyczyn leżących po stronie Odbiorcy nie zwalnia go z obowiązku zapłaty za zamówiony towar.</w:t>
      </w:r>
    </w:p>
    <w:p w14:paraId="3A11C8C0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Odbiorca zobowiązany jest również do pokrycia kosztów utylizacji niewykorzystanej mieszanki betonowej zgodnie z obowiązującym cennikiem (opłata za zwrot betonu).</w:t>
      </w:r>
    </w:p>
    <w:p w14:paraId="574F3C29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5. </w:t>
      </w:r>
      <w:r w:rsidRPr="00324C84">
        <w:rPr>
          <w:rFonts w:ascii="Times New Roman" w:hAnsi="Times New Roman" w:cs="Times New Roman"/>
          <w:b/>
          <w:bCs/>
        </w:rPr>
        <w:t>Kara za brak odbioru</w:t>
      </w:r>
    </w:p>
    <w:p w14:paraId="15C3E14A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Brak odbioru zamówienia w dniu jego realizacji lub przerwanie odbioru w trakcie realizacji skutkuje nałożeniem na Odbiorcę kary umownej za utracone korzyści w wysokości </w:t>
      </w:r>
      <w:r w:rsidRPr="00324C84">
        <w:rPr>
          <w:rFonts w:ascii="Times New Roman" w:hAnsi="Times New Roman" w:cs="Times New Roman"/>
          <w:b/>
          <w:bCs/>
          <w:sz w:val="20"/>
          <w:szCs w:val="20"/>
        </w:rPr>
        <w:t>20% wartości zamówienia</w:t>
      </w:r>
      <w:r w:rsidRPr="00324C84">
        <w:rPr>
          <w:rFonts w:ascii="Times New Roman" w:hAnsi="Times New Roman" w:cs="Times New Roman"/>
          <w:sz w:val="20"/>
          <w:szCs w:val="20"/>
        </w:rPr>
        <w:t>.</w:t>
      </w:r>
    </w:p>
    <w:p w14:paraId="16A6990B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6. </w:t>
      </w:r>
      <w:r w:rsidRPr="00324C84">
        <w:rPr>
          <w:rFonts w:ascii="Times New Roman" w:hAnsi="Times New Roman" w:cs="Times New Roman"/>
          <w:b/>
          <w:bCs/>
        </w:rPr>
        <w:t>Zaległości płatnicze</w:t>
      </w:r>
    </w:p>
    <w:p w14:paraId="104A0793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W przypadku opóźnienia w zapłacie przekraczającego 7 dni od ustalonego terminu płatności, Dostawca ma prawo wstrzymać lub odstąpić od dalszej realizacji zamówienia. Odstąpienie to następuje z winy Odbiorcy.</w:t>
      </w:r>
    </w:p>
    <w:p w14:paraId="03115E4F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7. </w:t>
      </w:r>
      <w:r w:rsidRPr="00324C84">
        <w:rPr>
          <w:rFonts w:ascii="Times New Roman" w:hAnsi="Times New Roman" w:cs="Times New Roman"/>
          <w:b/>
          <w:bCs/>
        </w:rPr>
        <w:t>Gwarancja</w:t>
      </w:r>
    </w:p>
    <w:p w14:paraId="4C5BB040" w14:textId="60F29B11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Dostawca udziela </w:t>
      </w:r>
      <w:r w:rsidRPr="00324C84">
        <w:rPr>
          <w:rFonts w:ascii="Times New Roman" w:hAnsi="Times New Roman" w:cs="Times New Roman"/>
          <w:b/>
          <w:bCs/>
          <w:sz w:val="20"/>
          <w:szCs w:val="20"/>
        </w:rPr>
        <w:t>24-miesięcznej gwarancji</w:t>
      </w:r>
      <w:r w:rsidRPr="00324C84">
        <w:rPr>
          <w:rFonts w:ascii="Times New Roman" w:hAnsi="Times New Roman" w:cs="Times New Roman"/>
          <w:sz w:val="20"/>
          <w:szCs w:val="20"/>
        </w:rPr>
        <w:t> na mieszankę betonową, liczonej od dnia jej odbioru, pod warunkiem wbudowania zgodnie z normą </w:t>
      </w:r>
      <w:r w:rsidRPr="00324C84">
        <w:rPr>
          <w:rFonts w:ascii="Times New Roman" w:hAnsi="Times New Roman" w:cs="Times New Roman"/>
          <w:b/>
          <w:bCs/>
          <w:sz w:val="20"/>
          <w:szCs w:val="20"/>
        </w:rPr>
        <w:t>PN-EN 13670</w:t>
      </w:r>
      <w:r w:rsidRPr="00324C84">
        <w:rPr>
          <w:rFonts w:ascii="Times New Roman" w:hAnsi="Times New Roman" w:cs="Times New Roman"/>
          <w:sz w:val="20"/>
          <w:szCs w:val="20"/>
        </w:rPr>
        <w:t>.</w:t>
      </w:r>
    </w:p>
    <w:p w14:paraId="74855FE4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8. </w:t>
      </w:r>
      <w:r w:rsidRPr="00324C84">
        <w:rPr>
          <w:rFonts w:ascii="Times New Roman" w:hAnsi="Times New Roman" w:cs="Times New Roman"/>
          <w:b/>
          <w:bCs/>
        </w:rPr>
        <w:t>Wymogi technologiczne – włókna</w:t>
      </w:r>
    </w:p>
    <w:p w14:paraId="3BBC9A1A" w14:textId="7777777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W przypadku mieszanek betonowych z dodatkiem włókna rozproszonego Dostawcy, przeznaczonych do betonów nienapowietrzanych, Dostawca zapewnia zawartość powietrza nieprzekraczającą </w:t>
      </w:r>
      <w:r w:rsidRPr="00324C84">
        <w:rPr>
          <w:rFonts w:ascii="Times New Roman" w:hAnsi="Times New Roman" w:cs="Times New Roman"/>
          <w:b/>
          <w:bCs/>
          <w:sz w:val="20"/>
          <w:szCs w:val="20"/>
        </w:rPr>
        <w:t>3%</w:t>
      </w:r>
      <w:r w:rsidRPr="00324C84">
        <w:rPr>
          <w:rFonts w:ascii="Times New Roman" w:hAnsi="Times New Roman" w:cs="Times New Roman"/>
          <w:sz w:val="20"/>
          <w:szCs w:val="20"/>
        </w:rPr>
        <w:t>. Przekroczenie tej wartości uprawnia do zwrotu mieszanki.</w:t>
      </w:r>
    </w:p>
    <w:p w14:paraId="4D709D0E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9. </w:t>
      </w:r>
      <w:r w:rsidRPr="00324C84">
        <w:rPr>
          <w:rFonts w:ascii="Times New Roman" w:hAnsi="Times New Roman" w:cs="Times New Roman"/>
          <w:b/>
          <w:bCs/>
        </w:rPr>
        <w:t>Wytrzymałość betonu</w:t>
      </w:r>
    </w:p>
    <w:p w14:paraId="03C5DBAC" w14:textId="4A9341B5" w:rsidR="00677FF3" w:rsidRPr="00677FF3" w:rsidRDefault="00324C84" w:rsidP="00677FF3">
      <w:pPr>
        <w:rPr>
          <w:rFonts w:ascii="Times New Roman" w:hAnsi="Times New Roman" w:cs="Times New Roman"/>
          <w:sz w:val="20"/>
          <w:szCs w:val="20"/>
        </w:rPr>
      </w:pPr>
      <w:r w:rsidRPr="00677FF3">
        <w:rPr>
          <w:rFonts w:ascii="Times New Roman" w:hAnsi="Times New Roman" w:cs="Times New Roman"/>
          <w:sz w:val="20"/>
          <w:szCs w:val="20"/>
        </w:rPr>
        <w:t>Dostawca deklaruje osiągnięcie nominalnej wytrzymałości betonu dla danej klasy po </w:t>
      </w:r>
      <w:r w:rsidRPr="00677FF3">
        <w:rPr>
          <w:rFonts w:ascii="Times New Roman" w:hAnsi="Times New Roman" w:cs="Times New Roman"/>
          <w:b/>
          <w:bCs/>
          <w:sz w:val="20"/>
          <w:szCs w:val="20"/>
        </w:rPr>
        <w:t>56 dniach dojrzewania</w:t>
      </w:r>
      <w:r w:rsidRPr="00677FF3">
        <w:rPr>
          <w:rFonts w:ascii="Times New Roman" w:hAnsi="Times New Roman" w:cs="Times New Roman"/>
          <w:sz w:val="20"/>
          <w:szCs w:val="20"/>
        </w:rPr>
        <w:t>.</w:t>
      </w:r>
      <w:r w:rsidR="00677FF3" w:rsidRPr="00677FF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pl-PL"/>
          <w14:ligatures w14:val="none"/>
        </w:rPr>
        <w:t xml:space="preserve"> </w:t>
      </w:r>
      <w:r w:rsidR="00677FF3" w:rsidRPr="00677FF3">
        <w:rPr>
          <w:rFonts w:ascii="Times New Roman" w:hAnsi="Times New Roman" w:cs="Times New Roman"/>
          <w:sz w:val="20"/>
          <w:szCs w:val="20"/>
        </w:rPr>
        <w:t xml:space="preserve">Producent mieszanki betonowej informuje, że w przypadku zastosowania cementów charakteryzujących się wydłużonym okresem przyrostu wytrzymałości (np. cementów wieloskładnikowych), deklarowane parametry </w:t>
      </w:r>
      <w:r w:rsidR="00677FF3" w:rsidRPr="00677FF3">
        <w:rPr>
          <w:rFonts w:ascii="Times New Roman" w:hAnsi="Times New Roman" w:cs="Times New Roman"/>
          <w:sz w:val="20"/>
          <w:szCs w:val="20"/>
        </w:rPr>
        <w:lastRenderedPageBreak/>
        <w:t>trwałościowe betonu, w szczególności stopień wodoszczelności (np. W8), odnoszą się do wieku betonu wynoszącego 90 dni.</w:t>
      </w:r>
    </w:p>
    <w:p w14:paraId="7445F21B" w14:textId="0E4C88E2" w:rsidR="00324C84" w:rsidRDefault="00677FF3" w:rsidP="00324C84">
      <w:pPr>
        <w:rPr>
          <w:rFonts w:ascii="Times New Roman" w:hAnsi="Times New Roman" w:cs="Times New Roman"/>
          <w:sz w:val="20"/>
          <w:szCs w:val="20"/>
        </w:rPr>
      </w:pPr>
      <w:r w:rsidRPr="00677FF3">
        <w:rPr>
          <w:rFonts w:ascii="Times New Roman" w:hAnsi="Times New Roman" w:cs="Times New Roman"/>
          <w:sz w:val="20"/>
          <w:szCs w:val="20"/>
        </w:rPr>
        <w:t>W związku z powyższym parametry te mogą nie być w pełni osiągnięte w standardowym okresie 28 dni dojrzewania, co wynika z charakterystyki zastosowanego spoiwa i nie stanowi wady wyrobu.</w:t>
      </w:r>
    </w:p>
    <w:p w14:paraId="1A37503B" w14:textId="77777777" w:rsidR="00677FF3" w:rsidRPr="00324C84" w:rsidRDefault="00677FF3" w:rsidP="00324C84">
      <w:pPr>
        <w:rPr>
          <w:rFonts w:ascii="Times New Roman" w:hAnsi="Times New Roman" w:cs="Times New Roman"/>
          <w:sz w:val="20"/>
          <w:szCs w:val="20"/>
        </w:rPr>
      </w:pPr>
    </w:p>
    <w:p w14:paraId="3A65F5B6" w14:textId="77777777" w:rsidR="00324C84" w:rsidRPr="00324C84" w:rsidRDefault="00324C84" w:rsidP="00324C84">
      <w:pPr>
        <w:rPr>
          <w:rFonts w:ascii="Times New Roman" w:hAnsi="Times New Roman" w:cs="Times New Roman"/>
        </w:rPr>
      </w:pPr>
      <w:r w:rsidRPr="00324C84">
        <w:rPr>
          <w:rFonts w:ascii="Times New Roman" w:hAnsi="Times New Roman" w:cs="Times New Roman"/>
        </w:rPr>
        <w:t xml:space="preserve">10. </w:t>
      </w:r>
      <w:r w:rsidRPr="00324C84">
        <w:rPr>
          <w:rFonts w:ascii="Times New Roman" w:hAnsi="Times New Roman" w:cs="Times New Roman"/>
          <w:b/>
          <w:bCs/>
        </w:rPr>
        <w:t>Kruszywa naturalne</w:t>
      </w:r>
    </w:p>
    <w:p w14:paraId="7490235A" w14:textId="453A8807" w:rsidR="00324C84" w:rsidRPr="00324C84" w:rsidRDefault="00324C84" w:rsidP="00324C84">
      <w:pPr>
        <w:rPr>
          <w:rFonts w:ascii="Times New Roman" w:hAnsi="Times New Roman" w:cs="Times New Roman"/>
          <w:sz w:val="20"/>
          <w:szCs w:val="20"/>
        </w:rPr>
      </w:pPr>
      <w:r w:rsidRPr="00324C84">
        <w:rPr>
          <w:rFonts w:ascii="Times New Roman" w:hAnsi="Times New Roman" w:cs="Times New Roman"/>
          <w:sz w:val="20"/>
          <w:szCs w:val="20"/>
        </w:rPr>
        <w:t>Dostawca informuje, że w mieszankach betonowych zawierających kruszywa naturalne otoczkowe mogą występować punktowe odpryski w warstwie wierzchniej, co może powodować zwiększoną erozyjność powierzchni betonu.</w:t>
      </w:r>
      <w:r w:rsidR="009C0A01">
        <w:rPr>
          <w:rFonts w:ascii="Times New Roman" w:hAnsi="Times New Roman" w:cs="Times New Roman"/>
          <w:sz w:val="20"/>
          <w:szCs w:val="20"/>
        </w:rPr>
        <w:t xml:space="preserve"> W celu uniknięcia podwyższonej erozyjności zaleca się stosowanie grysów łamanych.</w:t>
      </w:r>
    </w:p>
    <w:p w14:paraId="2DF70EF1" w14:textId="77777777" w:rsidR="00AB5F63" w:rsidRPr="00324C84" w:rsidRDefault="00AB5F63">
      <w:pPr>
        <w:rPr>
          <w:rFonts w:ascii="Times New Roman" w:hAnsi="Times New Roman" w:cs="Times New Roman"/>
        </w:rPr>
      </w:pPr>
    </w:p>
    <w:sectPr w:rsidR="00AB5F63" w:rsidRPr="00324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84"/>
    <w:rsid w:val="0014026E"/>
    <w:rsid w:val="002D7EA8"/>
    <w:rsid w:val="00324C84"/>
    <w:rsid w:val="00677FF3"/>
    <w:rsid w:val="009C0A01"/>
    <w:rsid w:val="00AB5F63"/>
    <w:rsid w:val="00AC531B"/>
    <w:rsid w:val="00D47218"/>
    <w:rsid w:val="00F9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2375C"/>
  <w15:chartTrackingRefBased/>
  <w15:docId w15:val="{0438929A-1A65-426E-99D4-817703F7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4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4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4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4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4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4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4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4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4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4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4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4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4C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4C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4C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4C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4C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4C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4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4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4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4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4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4C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4C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4C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4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4C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4C8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7F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460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 Wojno</dc:creator>
  <cp:keywords/>
  <dc:description/>
  <cp:lastModifiedBy>Hubert Wojno</cp:lastModifiedBy>
  <cp:revision>2</cp:revision>
  <dcterms:created xsi:type="dcterms:W3CDTF">2026-02-09T07:05:00Z</dcterms:created>
  <dcterms:modified xsi:type="dcterms:W3CDTF">2026-04-14T12:51:00Z</dcterms:modified>
</cp:coreProperties>
</file>